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A52D8C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387">
        <w:rPr>
          <w:b/>
          <w:sz w:val="28"/>
          <w:szCs w:val="28"/>
        </w:rPr>
        <w:t xml:space="preserve">Language Skills for the Common Core – </w:t>
      </w:r>
      <w:r w:rsidR="000430E9">
        <w:rPr>
          <w:b/>
          <w:sz w:val="28"/>
          <w:szCs w:val="28"/>
        </w:rPr>
        <w:t>6</w:t>
      </w:r>
      <w:r w:rsidR="00D055A4">
        <w:rPr>
          <w:b/>
          <w:sz w:val="28"/>
          <w:szCs w:val="28"/>
          <w:vertAlign w:val="superscript"/>
        </w:rPr>
        <w:t>th</w:t>
      </w:r>
      <w:r w:rsidR="008E683F">
        <w:rPr>
          <w:b/>
          <w:sz w:val="28"/>
          <w:szCs w:val="28"/>
        </w:rPr>
        <w:t xml:space="preserve"> </w:t>
      </w:r>
      <w:proofErr w:type="gramStart"/>
      <w:r w:rsidR="00155111">
        <w:rPr>
          <w:b/>
          <w:sz w:val="28"/>
          <w:szCs w:val="28"/>
        </w:rPr>
        <w:t>Grade</w:t>
      </w:r>
      <w:proofErr w:type="gramEnd"/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Pr="0032216A" w:rsidRDefault="00D137EC" w:rsidP="000F3387">
            <w:pPr>
              <w:jc w:val="center"/>
              <w:rPr>
                <w:b/>
                <w:u w:val="single"/>
              </w:rPr>
            </w:pPr>
            <w:r w:rsidRPr="0032216A"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Pr="000220B1" w:rsidRDefault="00160E4A" w:rsidP="000F3387">
            <w:pPr>
              <w:tabs>
                <w:tab w:val="left" w:pos="2415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 w:rsidR="000220B1">
              <w:rPr>
                <w:b/>
              </w:rPr>
              <w:t xml:space="preserve"> </w:t>
            </w:r>
            <w:r w:rsidR="000220B1">
              <w:rPr>
                <w:b/>
                <w:sz w:val="20"/>
                <w:szCs w:val="20"/>
              </w:rPr>
              <w:t>Literature &amp; Informational Text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32216A" w:rsidRDefault="00160E4A" w:rsidP="00C5771D">
            <w:pPr>
              <w:rPr>
                <w:b/>
                <w:sz w:val="16"/>
                <w:szCs w:val="16"/>
              </w:rPr>
            </w:pPr>
            <w:r w:rsidRPr="0032216A">
              <w:rPr>
                <w:b/>
                <w:sz w:val="16"/>
                <w:szCs w:val="16"/>
              </w:rPr>
              <w:t xml:space="preserve">Engages effectively in a range of collaborative discussions (one-on-one, in groups, and teacher led) with diverse partners on </w:t>
            </w:r>
            <w:r w:rsidR="00320DA3">
              <w:rPr>
                <w:b/>
                <w:i/>
                <w:iCs/>
                <w:sz w:val="16"/>
                <w:szCs w:val="16"/>
              </w:rPr>
              <w:t>grade 6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topics and texts</w:t>
            </w:r>
            <w:r w:rsidRPr="0032216A">
              <w:rPr>
                <w:b/>
                <w:sz w:val="16"/>
                <w:szCs w:val="16"/>
              </w:rPr>
              <w:t>, building on others’ ideas and expressing</w:t>
            </w:r>
            <w:r w:rsidRPr="0032216A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32216A">
              <w:rPr>
                <w:b/>
                <w:sz w:val="16"/>
                <w:szCs w:val="16"/>
              </w:rPr>
              <w:t>their own clearly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AD7A23" w:rsidP="00AD7A2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AD7A23">
              <w:rPr>
                <w:rFonts w:cs="Gotham-Book"/>
                <w:b/>
                <w:sz w:val="16"/>
                <w:szCs w:val="16"/>
              </w:rPr>
              <w:t>Cite textual evidence to sup</w:t>
            </w:r>
            <w:r>
              <w:rPr>
                <w:rFonts w:cs="Gotham-Book"/>
                <w:b/>
                <w:sz w:val="16"/>
                <w:szCs w:val="16"/>
              </w:rPr>
              <w:t xml:space="preserve">port analysis of what the text  </w:t>
            </w:r>
            <w:r w:rsidRPr="00AD7A23">
              <w:rPr>
                <w:rFonts w:cs="Gotham-Book"/>
                <w:b/>
                <w:sz w:val="16"/>
                <w:szCs w:val="16"/>
              </w:rPr>
              <w:t>says explicitly as well as inferences drawn from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A439F4" w:rsidRDefault="00122B68" w:rsidP="00122B6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22B68">
              <w:rPr>
                <w:rFonts w:cs="Gotham-Book"/>
                <w:b/>
                <w:sz w:val="16"/>
                <w:szCs w:val="16"/>
              </w:rPr>
              <w:t>Come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122B68">
              <w:rPr>
                <w:rFonts w:cs="Gotham-Book"/>
                <w:b/>
                <w:sz w:val="16"/>
                <w:szCs w:val="16"/>
              </w:rPr>
              <w:t xml:space="preserve"> to discussions prepared, having read or studied requir</w:t>
            </w:r>
            <w:r>
              <w:rPr>
                <w:rFonts w:cs="Gotham-Book"/>
                <w:b/>
                <w:sz w:val="16"/>
                <w:szCs w:val="16"/>
              </w:rPr>
              <w:t xml:space="preserve">ed material; </w:t>
            </w:r>
            <w:proofErr w:type="spellStart"/>
            <w:r>
              <w:rPr>
                <w:rFonts w:cs="Gotham-Book"/>
                <w:b/>
                <w:sz w:val="16"/>
                <w:szCs w:val="16"/>
              </w:rPr>
              <w:t>explicitlys</w:t>
            </w:r>
            <w:proofErr w:type="spellEnd"/>
            <w:r>
              <w:rPr>
                <w:rFonts w:cs="Gotham-Book"/>
                <w:b/>
                <w:sz w:val="16"/>
                <w:szCs w:val="16"/>
              </w:rPr>
              <w:t xml:space="preserve"> draw on </w:t>
            </w:r>
            <w:r w:rsidRPr="00122B68">
              <w:rPr>
                <w:rFonts w:cs="Gotham-Book"/>
                <w:b/>
                <w:sz w:val="16"/>
                <w:szCs w:val="16"/>
              </w:rPr>
              <w:t>that preparation by referring to evidence on the topic, text, or issue to probe and reflect on ideas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946A49" w:rsidRDefault="00AD7A23" w:rsidP="00AD7A2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AD7A23">
              <w:rPr>
                <w:rFonts w:cs="Gotham-Book"/>
                <w:b/>
                <w:sz w:val="16"/>
                <w:szCs w:val="16"/>
              </w:rPr>
              <w:t>Determine a them</w:t>
            </w:r>
            <w:r>
              <w:rPr>
                <w:rFonts w:cs="Gotham-Book"/>
                <w:b/>
                <w:sz w:val="16"/>
                <w:szCs w:val="16"/>
              </w:rPr>
              <w:t xml:space="preserve">e or central idea of a text and </w:t>
            </w:r>
            <w:r w:rsidRPr="00AD7A23">
              <w:rPr>
                <w:rFonts w:cs="Gotham-Book"/>
                <w:b/>
                <w:sz w:val="16"/>
                <w:szCs w:val="16"/>
              </w:rPr>
              <w:t>how it is conve</w:t>
            </w:r>
            <w:r>
              <w:rPr>
                <w:rFonts w:cs="Gotham-Book"/>
                <w:b/>
                <w:sz w:val="16"/>
                <w:szCs w:val="16"/>
              </w:rPr>
              <w:t xml:space="preserve">yed through particular details; </w:t>
            </w:r>
            <w:r w:rsidRPr="00AD7A23">
              <w:rPr>
                <w:rFonts w:cs="Gotham-Book"/>
                <w:b/>
                <w:sz w:val="16"/>
                <w:szCs w:val="16"/>
              </w:rPr>
              <w:t>provide a su</w:t>
            </w:r>
            <w:r>
              <w:rPr>
                <w:rFonts w:cs="Gotham-Book"/>
                <w:b/>
                <w:sz w:val="16"/>
                <w:szCs w:val="16"/>
              </w:rPr>
              <w:t xml:space="preserve">mmary of the text distinct from </w:t>
            </w:r>
            <w:r w:rsidRPr="00AD7A23">
              <w:rPr>
                <w:rFonts w:cs="Gotham-Book"/>
                <w:b/>
                <w:sz w:val="16"/>
                <w:szCs w:val="16"/>
              </w:rPr>
              <w:t>personal opinions or judgments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5368B">
        <w:trPr>
          <w:trHeight w:val="224"/>
        </w:trPr>
        <w:tc>
          <w:tcPr>
            <w:tcW w:w="5595" w:type="dxa"/>
          </w:tcPr>
          <w:p w:rsidR="00160E4A" w:rsidRPr="00451D1C" w:rsidRDefault="00122B68" w:rsidP="00122B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22B68">
              <w:rPr>
                <w:b/>
                <w:sz w:val="16"/>
                <w:szCs w:val="16"/>
              </w:rPr>
              <w:t>Follow</w:t>
            </w:r>
            <w:r>
              <w:rPr>
                <w:b/>
                <w:sz w:val="16"/>
                <w:szCs w:val="16"/>
              </w:rPr>
              <w:t>s</w:t>
            </w:r>
            <w:r w:rsidRPr="00122B68">
              <w:rPr>
                <w:b/>
                <w:sz w:val="16"/>
                <w:szCs w:val="16"/>
              </w:rPr>
              <w:t xml:space="preserve"> rules for collegial discu</w:t>
            </w:r>
            <w:r>
              <w:rPr>
                <w:b/>
                <w:sz w:val="16"/>
                <w:szCs w:val="16"/>
              </w:rPr>
              <w:t xml:space="preserve">ssions, sets specific goals and </w:t>
            </w:r>
            <w:r w:rsidRPr="00122B68">
              <w:rPr>
                <w:b/>
                <w:sz w:val="16"/>
                <w:szCs w:val="16"/>
              </w:rPr>
              <w:t>deadlines, and define</w:t>
            </w:r>
            <w:r>
              <w:rPr>
                <w:b/>
                <w:sz w:val="16"/>
                <w:szCs w:val="16"/>
              </w:rPr>
              <w:t>s</w:t>
            </w:r>
            <w:r w:rsidRPr="00122B68">
              <w:rPr>
                <w:b/>
                <w:sz w:val="16"/>
                <w:szCs w:val="16"/>
              </w:rPr>
              <w:t xml:space="preserve"> individual roles as needed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356C" w:rsidRDefault="00AD7A23" w:rsidP="00AD7A23">
            <w:pPr>
              <w:rPr>
                <w:b/>
                <w:sz w:val="16"/>
                <w:szCs w:val="16"/>
              </w:rPr>
            </w:pPr>
            <w:r w:rsidRPr="00AD7A23">
              <w:rPr>
                <w:b/>
                <w:sz w:val="16"/>
                <w:szCs w:val="16"/>
              </w:rPr>
              <w:t>Describe how a par</w:t>
            </w:r>
            <w:r>
              <w:rPr>
                <w:b/>
                <w:sz w:val="16"/>
                <w:szCs w:val="16"/>
              </w:rPr>
              <w:t xml:space="preserve">ticular story’s or drama’s plot </w:t>
            </w:r>
            <w:r w:rsidRPr="00AD7A23">
              <w:rPr>
                <w:b/>
                <w:sz w:val="16"/>
                <w:szCs w:val="16"/>
              </w:rPr>
              <w:t>unfolds in a series of episodes as</w:t>
            </w:r>
            <w:r>
              <w:rPr>
                <w:b/>
                <w:sz w:val="16"/>
                <w:szCs w:val="16"/>
              </w:rPr>
              <w:t xml:space="preserve"> well as how the </w:t>
            </w:r>
            <w:r w:rsidRPr="00AD7A23">
              <w:rPr>
                <w:b/>
                <w:sz w:val="16"/>
                <w:szCs w:val="16"/>
              </w:rPr>
              <w:t>characters resp</w:t>
            </w:r>
            <w:r>
              <w:rPr>
                <w:b/>
                <w:sz w:val="16"/>
                <w:szCs w:val="16"/>
              </w:rPr>
              <w:t xml:space="preserve">ond or change as the plot moves </w:t>
            </w:r>
            <w:r w:rsidRPr="00AD7A23">
              <w:rPr>
                <w:b/>
                <w:sz w:val="16"/>
                <w:szCs w:val="16"/>
              </w:rPr>
              <w:t>toward a resolution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A439F4" w:rsidRDefault="00122B68" w:rsidP="00122B6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22B68">
              <w:rPr>
                <w:rFonts w:cs="Gotham-Book"/>
                <w:b/>
                <w:sz w:val="16"/>
                <w:szCs w:val="16"/>
              </w:rPr>
              <w:t>Pose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122B68">
              <w:rPr>
                <w:rFonts w:cs="Gotham-Book"/>
                <w:b/>
                <w:sz w:val="16"/>
                <w:szCs w:val="16"/>
              </w:rPr>
              <w:t xml:space="preserve"> and respond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122B68">
              <w:rPr>
                <w:rFonts w:cs="Gotham-Book"/>
                <w:b/>
                <w:sz w:val="16"/>
                <w:szCs w:val="16"/>
              </w:rPr>
              <w:t xml:space="preserve"> to speci</w:t>
            </w:r>
            <w:r>
              <w:rPr>
                <w:rFonts w:cs="Gotham-Book"/>
                <w:b/>
                <w:sz w:val="16"/>
                <w:szCs w:val="16"/>
              </w:rPr>
              <w:t xml:space="preserve">fic questions with elaboration </w:t>
            </w:r>
            <w:r w:rsidRPr="00122B68">
              <w:rPr>
                <w:rFonts w:cs="Gotham-Book"/>
                <w:b/>
                <w:sz w:val="16"/>
                <w:szCs w:val="16"/>
              </w:rPr>
              <w:t>and detail by making comments</w:t>
            </w:r>
            <w:r>
              <w:rPr>
                <w:rFonts w:cs="Gotham-Book"/>
                <w:b/>
                <w:sz w:val="16"/>
                <w:szCs w:val="16"/>
              </w:rPr>
              <w:t xml:space="preserve"> that contribute to the topic, </w:t>
            </w:r>
            <w:r w:rsidRPr="00122B68">
              <w:rPr>
                <w:rFonts w:cs="Gotham-Book"/>
                <w:b/>
                <w:sz w:val="16"/>
                <w:szCs w:val="16"/>
              </w:rPr>
              <w:t>text, or issue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AD7A23" w:rsidP="00AD7A23">
            <w:pPr>
              <w:rPr>
                <w:b/>
                <w:sz w:val="16"/>
                <w:szCs w:val="16"/>
              </w:rPr>
            </w:pPr>
            <w:r w:rsidRPr="00AD7A23">
              <w:rPr>
                <w:b/>
                <w:sz w:val="16"/>
                <w:szCs w:val="16"/>
              </w:rPr>
              <w:t>Determine the meaning of words and phrases as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7A23">
              <w:rPr>
                <w:b/>
                <w:sz w:val="16"/>
                <w:szCs w:val="16"/>
              </w:rPr>
              <w:t>they are used in a</w:t>
            </w:r>
            <w:r w:rsidR="007E536A">
              <w:rPr>
                <w:b/>
                <w:sz w:val="16"/>
                <w:szCs w:val="16"/>
              </w:rPr>
              <w:t xml:space="preserve"> text, including figurative,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7A23">
              <w:rPr>
                <w:b/>
                <w:sz w:val="16"/>
                <w:szCs w:val="16"/>
              </w:rPr>
              <w:t>connotative</w:t>
            </w:r>
            <w:r w:rsidR="007E536A">
              <w:rPr>
                <w:b/>
                <w:sz w:val="16"/>
                <w:szCs w:val="16"/>
              </w:rPr>
              <w:t xml:space="preserve"> and technical</w:t>
            </w:r>
            <w:r w:rsidRPr="00AD7A23">
              <w:rPr>
                <w:b/>
                <w:sz w:val="16"/>
                <w:szCs w:val="16"/>
              </w:rPr>
              <w:t xml:space="preserve"> me</w:t>
            </w:r>
            <w:r>
              <w:rPr>
                <w:b/>
                <w:sz w:val="16"/>
                <w:szCs w:val="16"/>
              </w:rPr>
              <w:t xml:space="preserve">anings; analyze the impact of a </w:t>
            </w:r>
            <w:r w:rsidRPr="00AD7A23">
              <w:rPr>
                <w:b/>
                <w:sz w:val="16"/>
                <w:szCs w:val="16"/>
              </w:rPr>
              <w:t>specific word choice on meaning and tone.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5F6C8D" w:rsidRDefault="00122B68" w:rsidP="00122B68">
            <w:pPr>
              <w:rPr>
                <w:b/>
                <w:sz w:val="16"/>
                <w:szCs w:val="16"/>
              </w:rPr>
            </w:pPr>
            <w:r w:rsidRPr="00122B68">
              <w:rPr>
                <w:b/>
                <w:sz w:val="16"/>
                <w:szCs w:val="16"/>
              </w:rPr>
              <w:t>Review</w:t>
            </w:r>
            <w:r>
              <w:rPr>
                <w:b/>
                <w:sz w:val="16"/>
                <w:szCs w:val="16"/>
              </w:rPr>
              <w:t>s</w:t>
            </w:r>
            <w:r w:rsidRPr="00122B68">
              <w:rPr>
                <w:b/>
                <w:sz w:val="16"/>
                <w:szCs w:val="16"/>
              </w:rPr>
              <w:t xml:space="preserve"> the key i</w:t>
            </w:r>
            <w:r>
              <w:rPr>
                <w:b/>
                <w:sz w:val="16"/>
                <w:szCs w:val="16"/>
              </w:rPr>
              <w:t xml:space="preserve">deas expressed and demonstrates </w:t>
            </w:r>
            <w:r w:rsidRPr="00122B68">
              <w:rPr>
                <w:b/>
                <w:sz w:val="16"/>
                <w:szCs w:val="16"/>
              </w:rPr>
              <w:t>understanding of multiple pers</w:t>
            </w:r>
            <w:r>
              <w:rPr>
                <w:b/>
                <w:sz w:val="16"/>
                <w:szCs w:val="16"/>
              </w:rPr>
              <w:t xml:space="preserve">pectives through reflection and </w:t>
            </w:r>
            <w:r w:rsidRPr="00122B68">
              <w:rPr>
                <w:b/>
                <w:sz w:val="16"/>
                <w:szCs w:val="16"/>
              </w:rPr>
              <w:t>paraphrasing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3CB8" w:rsidRDefault="00AD7A23" w:rsidP="00AD7A2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D7A23">
              <w:rPr>
                <w:b/>
                <w:sz w:val="16"/>
                <w:szCs w:val="16"/>
              </w:rPr>
              <w:t xml:space="preserve">Analyze how </w:t>
            </w:r>
            <w:r>
              <w:rPr>
                <w:b/>
                <w:sz w:val="16"/>
                <w:szCs w:val="16"/>
              </w:rPr>
              <w:t xml:space="preserve">a particular sentence, chapter, </w:t>
            </w:r>
            <w:r w:rsidR="00CD381E">
              <w:rPr>
                <w:b/>
                <w:sz w:val="16"/>
                <w:szCs w:val="16"/>
              </w:rPr>
              <w:t xml:space="preserve">scene, </w:t>
            </w:r>
            <w:r w:rsidRPr="00AD7A23">
              <w:rPr>
                <w:b/>
                <w:sz w:val="16"/>
                <w:szCs w:val="16"/>
              </w:rPr>
              <w:t xml:space="preserve"> stanza</w:t>
            </w:r>
            <w:r w:rsidR="00CD381E">
              <w:rPr>
                <w:b/>
                <w:sz w:val="16"/>
                <w:szCs w:val="16"/>
              </w:rPr>
              <w:t xml:space="preserve"> or section</w:t>
            </w:r>
            <w:r w:rsidRPr="00AD7A23">
              <w:rPr>
                <w:b/>
                <w:sz w:val="16"/>
                <w:szCs w:val="16"/>
              </w:rPr>
              <w:t xml:space="preserve"> fit</w:t>
            </w:r>
            <w:r>
              <w:rPr>
                <w:b/>
                <w:sz w:val="16"/>
                <w:szCs w:val="16"/>
              </w:rPr>
              <w:t xml:space="preserve">s into the overall structure of </w:t>
            </w:r>
            <w:r w:rsidRPr="00AD7A23">
              <w:rPr>
                <w:b/>
                <w:sz w:val="16"/>
                <w:szCs w:val="16"/>
              </w:rPr>
              <w:t>a text and contri</w:t>
            </w:r>
            <w:r>
              <w:rPr>
                <w:b/>
                <w:sz w:val="16"/>
                <w:szCs w:val="16"/>
              </w:rPr>
              <w:t xml:space="preserve">butes to the development of the </w:t>
            </w:r>
            <w:r w:rsidRPr="00AD7A23">
              <w:rPr>
                <w:b/>
                <w:sz w:val="16"/>
                <w:szCs w:val="16"/>
              </w:rPr>
              <w:t>theme, setting, or plot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22B68" w:rsidRPr="00122B68" w:rsidRDefault="00122B68" w:rsidP="00122B68">
            <w:pPr>
              <w:rPr>
                <w:b/>
                <w:sz w:val="16"/>
                <w:szCs w:val="16"/>
              </w:rPr>
            </w:pPr>
            <w:r w:rsidRPr="00122B68">
              <w:rPr>
                <w:b/>
                <w:sz w:val="16"/>
                <w:szCs w:val="16"/>
              </w:rPr>
              <w:t>Interpret</w:t>
            </w:r>
            <w:r>
              <w:rPr>
                <w:b/>
                <w:sz w:val="16"/>
                <w:szCs w:val="16"/>
              </w:rPr>
              <w:t>s</w:t>
            </w:r>
            <w:r w:rsidRPr="00122B68">
              <w:rPr>
                <w:b/>
                <w:sz w:val="16"/>
                <w:szCs w:val="16"/>
              </w:rPr>
              <w:t xml:space="preserve"> information </w:t>
            </w:r>
            <w:r>
              <w:rPr>
                <w:b/>
                <w:sz w:val="16"/>
                <w:szCs w:val="16"/>
              </w:rPr>
              <w:t xml:space="preserve">presented in diverse media and </w:t>
            </w:r>
            <w:r w:rsidRPr="00122B68">
              <w:rPr>
                <w:b/>
                <w:sz w:val="16"/>
                <w:szCs w:val="16"/>
              </w:rPr>
              <w:t>formats (e.g., vi</w:t>
            </w:r>
            <w:r>
              <w:rPr>
                <w:b/>
                <w:sz w:val="16"/>
                <w:szCs w:val="16"/>
              </w:rPr>
              <w:t xml:space="preserve">sually, quantitatively, orally) </w:t>
            </w:r>
            <w:r w:rsidRPr="00122B68">
              <w:rPr>
                <w:b/>
                <w:sz w:val="16"/>
                <w:szCs w:val="16"/>
              </w:rPr>
              <w:t>and explain</w:t>
            </w:r>
            <w:r>
              <w:rPr>
                <w:b/>
                <w:sz w:val="16"/>
                <w:szCs w:val="16"/>
              </w:rPr>
              <w:t>s</w:t>
            </w:r>
            <w:r w:rsidRPr="00122B68">
              <w:rPr>
                <w:b/>
                <w:sz w:val="16"/>
                <w:szCs w:val="16"/>
              </w:rPr>
              <w:t xml:space="preserve"> how it contributes to a topic, text, or issue </w:t>
            </w:r>
          </w:p>
          <w:p w:rsidR="00160E4A" w:rsidRPr="00196E2C" w:rsidRDefault="00122B68" w:rsidP="00122B68">
            <w:pPr>
              <w:rPr>
                <w:b/>
                <w:sz w:val="16"/>
                <w:szCs w:val="16"/>
              </w:rPr>
            </w:pPr>
            <w:r w:rsidRPr="00122B68">
              <w:rPr>
                <w:b/>
                <w:sz w:val="16"/>
                <w:szCs w:val="16"/>
              </w:rPr>
              <w:t>under study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3F4172" w:rsidRDefault="00AD7A23" w:rsidP="00AD7A23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AD7A23">
              <w:rPr>
                <w:rFonts w:cs="Gotham-Book"/>
                <w:b/>
                <w:sz w:val="16"/>
                <w:szCs w:val="16"/>
              </w:rPr>
              <w:t>Explain how an au</w:t>
            </w:r>
            <w:r>
              <w:rPr>
                <w:rFonts w:cs="Gotham-Book"/>
                <w:b/>
                <w:sz w:val="16"/>
                <w:szCs w:val="16"/>
              </w:rPr>
              <w:t xml:space="preserve">thor develops the point of view </w:t>
            </w:r>
            <w:r w:rsidRPr="00AD7A23">
              <w:rPr>
                <w:rFonts w:cs="Gotham-Book"/>
                <w:b/>
                <w:sz w:val="16"/>
                <w:szCs w:val="16"/>
              </w:rPr>
              <w:t>of the narrator or speaker in a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96E2C" w:rsidRDefault="00196E2C" w:rsidP="00122B68">
            <w:pPr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>Delineate</w:t>
            </w:r>
            <w:r w:rsidR="00122B68">
              <w:rPr>
                <w:rFonts w:cs="Gotham-Book"/>
                <w:b/>
                <w:sz w:val="16"/>
                <w:szCs w:val="16"/>
              </w:rPr>
              <w:t>s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 xml:space="preserve"> a speaker’s</w:t>
            </w:r>
            <w:r w:rsidR="00122B68">
              <w:rPr>
                <w:rFonts w:cs="Gotham-Book"/>
                <w:b/>
                <w:sz w:val="16"/>
                <w:szCs w:val="16"/>
              </w:rPr>
              <w:t xml:space="preserve"> argument and specific claims,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>distinguishing claims</w:t>
            </w:r>
            <w:r w:rsidR="00122B68">
              <w:rPr>
                <w:rFonts w:cs="Gotham-Book"/>
                <w:b/>
                <w:sz w:val="16"/>
                <w:szCs w:val="16"/>
              </w:rPr>
              <w:t xml:space="preserve"> that are supported by reasons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>and evidence from claims that are not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613A9" w:rsidRDefault="00AD7A23" w:rsidP="00AD7A23">
            <w:pPr>
              <w:rPr>
                <w:b/>
                <w:sz w:val="16"/>
                <w:szCs w:val="16"/>
              </w:rPr>
            </w:pPr>
            <w:r w:rsidRPr="00AD7A23">
              <w:rPr>
                <w:b/>
                <w:sz w:val="16"/>
                <w:szCs w:val="16"/>
              </w:rPr>
              <w:t>Compare and con</w:t>
            </w:r>
            <w:r>
              <w:rPr>
                <w:b/>
                <w:sz w:val="16"/>
                <w:szCs w:val="16"/>
              </w:rPr>
              <w:t xml:space="preserve">trast the experience of reading </w:t>
            </w:r>
            <w:r w:rsidRPr="00AD7A23">
              <w:rPr>
                <w:b/>
                <w:sz w:val="16"/>
                <w:szCs w:val="16"/>
              </w:rPr>
              <w:t xml:space="preserve">a story, drama, or </w:t>
            </w:r>
            <w:r>
              <w:rPr>
                <w:b/>
                <w:sz w:val="16"/>
                <w:szCs w:val="16"/>
              </w:rPr>
              <w:t xml:space="preserve">poem to listening to or viewing </w:t>
            </w:r>
            <w:r w:rsidRPr="00AD7A23">
              <w:rPr>
                <w:b/>
                <w:sz w:val="16"/>
                <w:szCs w:val="16"/>
              </w:rPr>
              <w:t>an audio, vide</w:t>
            </w:r>
            <w:r>
              <w:rPr>
                <w:b/>
                <w:sz w:val="16"/>
                <w:szCs w:val="16"/>
              </w:rPr>
              <w:t xml:space="preserve">o, or live version of the text, </w:t>
            </w:r>
            <w:r w:rsidRPr="00AD7A23">
              <w:rPr>
                <w:b/>
                <w:sz w:val="16"/>
                <w:szCs w:val="16"/>
              </w:rPr>
              <w:t>including contras</w:t>
            </w:r>
            <w:r>
              <w:rPr>
                <w:b/>
                <w:sz w:val="16"/>
                <w:szCs w:val="16"/>
              </w:rPr>
              <w:t xml:space="preserve">ting what they “see” and “hear” </w:t>
            </w:r>
            <w:r w:rsidRPr="00AD7A23">
              <w:rPr>
                <w:b/>
                <w:sz w:val="16"/>
                <w:szCs w:val="16"/>
              </w:rPr>
              <w:t>when reading</w:t>
            </w:r>
            <w:r>
              <w:rPr>
                <w:b/>
                <w:sz w:val="16"/>
                <w:szCs w:val="16"/>
              </w:rPr>
              <w:t xml:space="preserve"> the text to what they perceive </w:t>
            </w:r>
            <w:r w:rsidRPr="00AD7A23">
              <w:rPr>
                <w:b/>
                <w:sz w:val="16"/>
                <w:szCs w:val="16"/>
              </w:rPr>
              <w:t>when they listen or watch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22B68" w:rsidRPr="00122B68" w:rsidRDefault="00122B68" w:rsidP="00122B6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>
              <w:rPr>
                <w:rFonts w:cs="Gotham-Book"/>
                <w:b/>
                <w:sz w:val="16"/>
                <w:szCs w:val="16"/>
              </w:rPr>
              <w:t xml:space="preserve">Presents </w:t>
            </w:r>
            <w:r w:rsidRPr="00122B68">
              <w:rPr>
                <w:rFonts w:cs="Gotham-Book"/>
                <w:b/>
                <w:sz w:val="16"/>
                <w:szCs w:val="16"/>
              </w:rPr>
              <w:t>claims</w:t>
            </w:r>
            <w:r>
              <w:rPr>
                <w:rFonts w:cs="Gotham-Book"/>
                <w:b/>
                <w:sz w:val="16"/>
                <w:szCs w:val="16"/>
              </w:rPr>
              <w:t xml:space="preserve"> and findings, sequencing ideas </w:t>
            </w:r>
            <w:r w:rsidRPr="00122B68">
              <w:rPr>
                <w:rFonts w:cs="Gotham-Book"/>
                <w:b/>
                <w:sz w:val="16"/>
                <w:szCs w:val="16"/>
              </w:rPr>
              <w:t>logically and using pert</w:t>
            </w:r>
            <w:r>
              <w:rPr>
                <w:rFonts w:cs="Gotham-Book"/>
                <w:b/>
                <w:sz w:val="16"/>
                <w:szCs w:val="16"/>
              </w:rPr>
              <w:t xml:space="preserve">inent descriptions, facts, and </w:t>
            </w:r>
            <w:r w:rsidRPr="00122B68">
              <w:rPr>
                <w:rFonts w:cs="Gotham-Book"/>
                <w:b/>
                <w:sz w:val="16"/>
                <w:szCs w:val="16"/>
              </w:rPr>
              <w:t xml:space="preserve">details to accentuate main ideas or themes; use </w:t>
            </w:r>
          </w:p>
          <w:p w:rsidR="00160E4A" w:rsidRPr="00196E2C" w:rsidRDefault="00122B68" w:rsidP="00122B6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22B68">
              <w:rPr>
                <w:rFonts w:cs="Gotham-Book"/>
                <w:b/>
                <w:sz w:val="16"/>
                <w:szCs w:val="16"/>
              </w:rPr>
              <w:t>appropriate eye cont</w:t>
            </w:r>
            <w:r>
              <w:rPr>
                <w:rFonts w:cs="Gotham-Book"/>
                <w:b/>
                <w:sz w:val="16"/>
                <w:szCs w:val="16"/>
              </w:rPr>
              <w:t>act, adequate volume,</w:t>
            </w:r>
            <w:r w:rsidR="00AD7A23">
              <w:rPr>
                <w:rFonts w:cs="Gotham-Book"/>
                <w:b/>
                <w:sz w:val="16"/>
                <w:szCs w:val="16"/>
              </w:rPr>
              <w:t xml:space="preserve"> </w:t>
            </w:r>
            <w:r>
              <w:rPr>
                <w:rFonts w:cs="Gotham-Book"/>
                <w:b/>
                <w:sz w:val="16"/>
                <w:szCs w:val="16"/>
              </w:rPr>
              <w:t xml:space="preserve">and clear </w:t>
            </w:r>
            <w:r w:rsidRPr="00122B68">
              <w:rPr>
                <w:rFonts w:cs="Gotham-Book"/>
                <w:b/>
                <w:sz w:val="16"/>
                <w:szCs w:val="16"/>
              </w:rPr>
              <w:t>pronunciation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107627" w:rsidRDefault="00AD7A23" w:rsidP="00AD7A23">
            <w:pPr>
              <w:rPr>
                <w:b/>
                <w:sz w:val="16"/>
                <w:szCs w:val="16"/>
              </w:rPr>
            </w:pPr>
            <w:r w:rsidRPr="00AD7A23">
              <w:rPr>
                <w:b/>
                <w:sz w:val="16"/>
                <w:szCs w:val="16"/>
              </w:rPr>
              <w:t>Compare and contr</w:t>
            </w:r>
            <w:r>
              <w:rPr>
                <w:b/>
                <w:sz w:val="16"/>
                <w:szCs w:val="16"/>
              </w:rPr>
              <w:t xml:space="preserve">ast texts in different forms or </w:t>
            </w:r>
            <w:r w:rsidRPr="00AD7A23">
              <w:rPr>
                <w:b/>
                <w:sz w:val="16"/>
                <w:szCs w:val="16"/>
              </w:rPr>
              <w:t>genres (e.g., stori</w:t>
            </w:r>
            <w:r>
              <w:rPr>
                <w:b/>
                <w:sz w:val="16"/>
                <w:szCs w:val="16"/>
              </w:rPr>
              <w:t xml:space="preserve">es and poems; historical novels </w:t>
            </w:r>
            <w:r w:rsidRPr="00AD7A23">
              <w:rPr>
                <w:b/>
                <w:sz w:val="16"/>
                <w:szCs w:val="16"/>
              </w:rPr>
              <w:t>and fantasy storie</w:t>
            </w:r>
            <w:r>
              <w:rPr>
                <w:b/>
                <w:sz w:val="16"/>
                <w:szCs w:val="16"/>
              </w:rPr>
              <w:t xml:space="preserve">s) in terms of their approaches </w:t>
            </w:r>
            <w:r w:rsidRPr="00AD7A23">
              <w:rPr>
                <w:b/>
                <w:sz w:val="16"/>
                <w:szCs w:val="16"/>
              </w:rPr>
              <w:t>to similar themes and topics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122B68" w:rsidRDefault="00196E2C" w:rsidP="00122B68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196E2C"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>Adapt</w:t>
            </w:r>
            <w:r w:rsidR="00122B68">
              <w:rPr>
                <w:rFonts w:cs="Gotham-Book"/>
                <w:b/>
                <w:sz w:val="16"/>
                <w:szCs w:val="16"/>
              </w:rPr>
              <w:t>s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 xml:space="preserve"> speech to a </w:t>
            </w:r>
            <w:r w:rsidR="00122B68">
              <w:rPr>
                <w:rFonts w:cs="Gotham-Book"/>
                <w:b/>
                <w:sz w:val="16"/>
                <w:szCs w:val="16"/>
              </w:rPr>
              <w:t xml:space="preserve">variety of contexts and tasks,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 xml:space="preserve">demonstrating </w:t>
            </w:r>
            <w:r w:rsidR="00122B68">
              <w:rPr>
                <w:rFonts w:cs="Gotham-Book"/>
                <w:b/>
                <w:sz w:val="16"/>
                <w:szCs w:val="16"/>
              </w:rPr>
              <w:t xml:space="preserve">command of formal English when </w:t>
            </w:r>
            <w:r w:rsidR="00122B68" w:rsidRPr="00122B68">
              <w:rPr>
                <w:rFonts w:cs="Gotham-Book"/>
                <w:b/>
                <w:sz w:val="16"/>
                <w:szCs w:val="16"/>
              </w:rPr>
              <w:t>indicated or appropriate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026D2" w:rsidRPr="001026D2" w:rsidRDefault="001026D2" w:rsidP="001026D2">
            <w:pPr>
              <w:rPr>
                <w:b/>
                <w:sz w:val="16"/>
                <w:szCs w:val="16"/>
              </w:rPr>
            </w:pPr>
            <w:r w:rsidRPr="001026D2">
              <w:rPr>
                <w:b/>
                <w:sz w:val="16"/>
                <w:szCs w:val="16"/>
              </w:rPr>
              <w:t>By the end of the year, read</w:t>
            </w:r>
            <w:r>
              <w:rPr>
                <w:b/>
                <w:sz w:val="16"/>
                <w:szCs w:val="16"/>
              </w:rPr>
              <w:t>s</w:t>
            </w:r>
            <w:r w:rsidRPr="001026D2">
              <w:rPr>
                <w:b/>
                <w:sz w:val="16"/>
                <w:szCs w:val="16"/>
              </w:rPr>
              <w:t xml:space="preserve"> and comprehend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1026D2">
              <w:rPr>
                <w:b/>
                <w:sz w:val="16"/>
                <w:szCs w:val="16"/>
              </w:rPr>
              <w:t>literature, including</w:t>
            </w:r>
            <w:r>
              <w:rPr>
                <w:b/>
                <w:sz w:val="16"/>
                <w:szCs w:val="16"/>
              </w:rPr>
              <w:t xml:space="preserve"> stories, dramas, and poems, in </w:t>
            </w:r>
            <w:r w:rsidRPr="001026D2">
              <w:rPr>
                <w:b/>
                <w:sz w:val="16"/>
                <w:szCs w:val="16"/>
              </w:rPr>
              <w:t>the grades 6–8</w:t>
            </w:r>
            <w:r w:rsidR="00AD7A23">
              <w:rPr>
                <w:b/>
                <w:sz w:val="16"/>
                <w:szCs w:val="16"/>
              </w:rPr>
              <w:t xml:space="preserve"> </w:t>
            </w:r>
            <w:r w:rsidRPr="001026D2">
              <w:rPr>
                <w:b/>
                <w:sz w:val="16"/>
                <w:szCs w:val="16"/>
              </w:rPr>
              <w:t xml:space="preserve"> text complexity band proficiently,</w:t>
            </w:r>
          </w:p>
          <w:p w:rsidR="00160E4A" w:rsidRPr="00F0012D" w:rsidRDefault="001026D2" w:rsidP="001026D2">
            <w:pPr>
              <w:rPr>
                <w:b/>
                <w:sz w:val="16"/>
                <w:szCs w:val="16"/>
              </w:rPr>
            </w:pPr>
            <w:r w:rsidRPr="001026D2">
              <w:rPr>
                <w:b/>
                <w:sz w:val="16"/>
                <w:szCs w:val="16"/>
              </w:rPr>
              <w:t>with scaffolding as needed at the high end of the range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F3387" w:rsidRDefault="00160E4A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95354" w:rsidRDefault="0065368B" w:rsidP="00653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Determines or clarifies the meaning of unknown and multiple-meaning words and phrases based on </w:t>
            </w:r>
            <w:r w:rsidR="00BD6253">
              <w:rPr>
                <w:rFonts w:cs="Gotham-Book"/>
                <w:b/>
                <w:i/>
                <w:iCs/>
                <w:sz w:val="16"/>
                <w:szCs w:val="16"/>
              </w:rPr>
              <w:t>grade 6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 xml:space="preserve"> reading and content, </w:t>
            </w:r>
            <w:r w:rsidRPr="00450F89">
              <w:rPr>
                <w:rFonts w:cs="Gotham-Book"/>
                <w:b/>
                <w:sz w:val="16"/>
                <w:szCs w:val="16"/>
              </w:rPr>
              <w:t>choosing flexibly from a range of strategies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command of the conventions of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sz w:val="16"/>
                <w:szCs w:val="16"/>
              </w:rPr>
              <w:t>standard English grammar and usage when writing or speaking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473863" w:rsidP="00473863">
            <w:pPr>
              <w:rPr>
                <w:b/>
                <w:sz w:val="16"/>
                <w:szCs w:val="16"/>
              </w:rPr>
            </w:pPr>
            <w:r w:rsidRPr="00473863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473863">
              <w:rPr>
                <w:b/>
                <w:sz w:val="16"/>
                <w:szCs w:val="16"/>
              </w:rPr>
              <w:t xml:space="preserve"> context (e.g., the</w:t>
            </w:r>
            <w:r>
              <w:rPr>
                <w:b/>
                <w:sz w:val="16"/>
                <w:szCs w:val="16"/>
              </w:rPr>
              <w:t xml:space="preserve"> overall meaning of a sentence </w:t>
            </w:r>
            <w:r w:rsidRPr="00473863">
              <w:rPr>
                <w:b/>
                <w:sz w:val="16"/>
                <w:szCs w:val="16"/>
              </w:rPr>
              <w:t>or paragraph; a wo</w:t>
            </w:r>
            <w:r>
              <w:rPr>
                <w:b/>
                <w:sz w:val="16"/>
                <w:szCs w:val="16"/>
              </w:rPr>
              <w:t xml:space="preserve">rd’s position or function in a </w:t>
            </w:r>
            <w:r w:rsidRPr="00473863">
              <w:rPr>
                <w:b/>
                <w:sz w:val="16"/>
                <w:szCs w:val="16"/>
              </w:rPr>
              <w:t>sentence)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B1384B" w:rsidRDefault="00BC2A62" w:rsidP="00BC2A62">
            <w:pPr>
              <w:autoSpaceDE w:val="0"/>
              <w:autoSpaceDN w:val="0"/>
              <w:adjustRightInd w:val="0"/>
              <w:rPr>
                <w:rFonts w:cs="Gotham-Book"/>
                <w:b/>
                <w:iCs/>
                <w:sz w:val="16"/>
                <w:szCs w:val="16"/>
              </w:rPr>
            </w:pPr>
            <w:r w:rsidRPr="00BC2A62">
              <w:rPr>
                <w:rFonts w:cs="Gotham-Book"/>
                <w:b/>
                <w:iCs/>
                <w:sz w:val="16"/>
                <w:szCs w:val="16"/>
              </w:rPr>
              <w:t>Ensure</w:t>
            </w:r>
            <w:r>
              <w:rPr>
                <w:rFonts w:cs="Gotham-Book"/>
                <w:b/>
                <w:iCs/>
                <w:sz w:val="16"/>
                <w:szCs w:val="16"/>
              </w:rPr>
              <w:t>s</w:t>
            </w:r>
            <w:r w:rsidRPr="00BC2A62">
              <w:rPr>
                <w:rFonts w:cs="Gotham-Book"/>
                <w:b/>
                <w:iCs/>
                <w:sz w:val="16"/>
                <w:szCs w:val="16"/>
              </w:rPr>
              <w:t xml:space="preserve"> that </w:t>
            </w:r>
            <w:r>
              <w:rPr>
                <w:rFonts w:cs="Gotham-Book"/>
                <w:b/>
                <w:iCs/>
                <w:sz w:val="16"/>
                <w:szCs w:val="16"/>
              </w:rPr>
              <w:t>pronouns are in the proper case</w:t>
            </w:r>
            <w:r w:rsidRPr="00BC2A62">
              <w:rPr>
                <w:rFonts w:cs="Gotham-Book"/>
                <w:b/>
                <w:iCs/>
                <w:sz w:val="16"/>
                <w:szCs w:val="16"/>
              </w:rPr>
              <w:t>(subjective, objective, possessive)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8E3FE3" w:rsidRDefault="00473863" w:rsidP="00521046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73863">
              <w:rPr>
                <w:rFonts w:cs="Gotham-Book"/>
                <w:b/>
                <w:sz w:val="16"/>
                <w:szCs w:val="16"/>
              </w:rPr>
              <w:t>Use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473863">
              <w:rPr>
                <w:rFonts w:cs="Gotham-Book"/>
                <w:b/>
                <w:sz w:val="16"/>
                <w:szCs w:val="16"/>
              </w:rPr>
              <w:t xml:space="preserve"> common, gr</w:t>
            </w:r>
            <w:r>
              <w:rPr>
                <w:rFonts w:cs="Gotham-Book"/>
                <w:b/>
                <w:sz w:val="16"/>
                <w:szCs w:val="16"/>
              </w:rPr>
              <w:t xml:space="preserve">ade-appropriate Greek or Latin </w:t>
            </w:r>
            <w:r w:rsidRPr="00473863">
              <w:rPr>
                <w:rFonts w:cs="Gotham-Book"/>
                <w:b/>
                <w:sz w:val="16"/>
                <w:szCs w:val="16"/>
              </w:rPr>
              <w:t>affixes and roots as clues to the meaning of a word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="00395580" w:rsidRPr="00395580">
              <w:rPr>
                <w:rFonts w:cs="Gotham-Book"/>
                <w:b/>
                <w:sz w:val="16"/>
                <w:szCs w:val="16"/>
              </w:rPr>
              <w:t>(e.g., audience, auditory, audible)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5159D5" w:rsidRDefault="00BC2A62" w:rsidP="00F94A65">
            <w:pPr>
              <w:rPr>
                <w:b/>
                <w:iCs/>
                <w:sz w:val="16"/>
                <w:szCs w:val="16"/>
              </w:rPr>
            </w:pPr>
            <w:r w:rsidRPr="00BC2A62">
              <w:rPr>
                <w:b/>
                <w:iCs/>
                <w:sz w:val="16"/>
                <w:szCs w:val="16"/>
              </w:rPr>
              <w:t>Use</w:t>
            </w:r>
            <w:r>
              <w:rPr>
                <w:b/>
                <w:iCs/>
                <w:sz w:val="16"/>
                <w:szCs w:val="16"/>
              </w:rPr>
              <w:t>s</w:t>
            </w:r>
            <w:r w:rsidRPr="00BC2A62">
              <w:rPr>
                <w:b/>
                <w:iCs/>
                <w:sz w:val="16"/>
                <w:szCs w:val="16"/>
              </w:rPr>
              <w:t xml:space="preserve"> intensive pronouns (e.g., myself, ourselves)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73863" w:rsidRDefault="00395580" w:rsidP="00395580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395580">
              <w:rPr>
                <w:rFonts w:cs="Gotham-Book"/>
                <w:b/>
                <w:sz w:val="16"/>
                <w:szCs w:val="16"/>
              </w:rPr>
              <w:t>Demonstr</w:t>
            </w:r>
            <w:r>
              <w:rPr>
                <w:rFonts w:cs="Gotham-Book"/>
                <w:b/>
                <w:sz w:val="16"/>
                <w:szCs w:val="16"/>
              </w:rPr>
              <w:t xml:space="preserve">ates understanding of figurative </w:t>
            </w:r>
            <w:r w:rsidRPr="00395580">
              <w:rPr>
                <w:rFonts w:cs="Gotham-Book"/>
                <w:b/>
                <w:sz w:val="16"/>
                <w:szCs w:val="16"/>
              </w:rPr>
              <w:t>language, word rel</w:t>
            </w:r>
            <w:r>
              <w:rPr>
                <w:rFonts w:cs="Gotham-Book"/>
                <w:b/>
                <w:sz w:val="16"/>
                <w:szCs w:val="16"/>
              </w:rPr>
              <w:t xml:space="preserve">ationships, and nuances in word </w:t>
            </w:r>
            <w:r w:rsidRPr="00395580">
              <w:rPr>
                <w:rFonts w:cs="Gotham-Book"/>
                <w:b/>
                <w:sz w:val="16"/>
                <w:szCs w:val="16"/>
              </w:rPr>
              <w:t>meanings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92562C" w:rsidRDefault="00BC2A62" w:rsidP="00BC2A62">
            <w:pPr>
              <w:rPr>
                <w:b/>
                <w:sz w:val="16"/>
                <w:szCs w:val="16"/>
              </w:rPr>
            </w:pPr>
            <w:r w:rsidRPr="00BC2A62">
              <w:rPr>
                <w:b/>
                <w:sz w:val="16"/>
                <w:szCs w:val="16"/>
              </w:rPr>
              <w:t>Recognize</w:t>
            </w:r>
            <w:r>
              <w:rPr>
                <w:b/>
                <w:sz w:val="16"/>
                <w:szCs w:val="16"/>
              </w:rPr>
              <w:t>s</w:t>
            </w:r>
            <w:r w:rsidRPr="00BC2A62">
              <w:rPr>
                <w:b/>
                <w:sz w:val="16"/>
                <w:szCs w:val="16"/>
              </w:rPr>
              <w:t xml:space="preserve"> and </w:t>
            </w:r>
            <w:r>
              <w:rPr>
                <w:b/>
                <w:sz w:val="16"/>
                <w:szCs w:val="16"/>
              </w:rPr>
              <w:t xml:space="preserve">corrects inappropriate shifts in </w:t>
            </w:r>
            <w:r w:rsidRPr="00BC2A62">
              <w:rPr>
                <w:b/>
                <w:sz w:val="16"/>
                <w:szCs w:val="16"/>
              </w:rPr>
              <w:t>pronoun number and person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B1384B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473863" w:rsidRDefault="00521046" w:rsidP="00395580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521046">
              <w:rPr>
                <w:b/>
                <w:sz w:val="16"/>
                <w:szCs w:val="16"/>
              </w:rPr>
              <w:t>Interpret</w:t>
            </w:r>
            <w:r w:rsidR="004C5D08">
              <w:rPr>
                <w:b/>
                <w:sz w:val="16"/>
                <w:szCs w:val="16"/>
              </w:rPr>
              <w:t>s</w:t>
            </w:r>
            <w:r w:rsidRPr="00521046">
              <w:rPr>
                <w:b/>
                <w:sz w:val="16"/>
                <w:szCs w:val="16"/>
              </w:rPr>
              <w:t xml:space="preserve"> figures of speech </w:t>
            </w:r>
            <w:r w:rsidR="00395580">
              <w:rPr>
                <w:b/>
                <w:sz w:val="16"/>
                <w:szCs w:val="16"/>
              </w:rPr>
              <w:t xml:space="preserve">(e.g., </w:t>
            </w:r>
            <w:r w:rsidR="00395580" w:rsidRPr="00395580">
              <w:rPr>
                <w:b/>
                <w:sz w:val="16"/>
                <w:szCs w:val="16"/>
              </w:rPr>
              <w:t>personification)</w:t>
            </w:r>
            <w:r w:rsidRPr="00521046">
              <w:rPr>
                <w:b/>
                <w:sz w:val="16"/>
                <w:szCs w:val="16"/>
              </w:rPr>
              <w:t xml:space="preserve"> in context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BC2A62" w:rsidRPr="00BC2A62" w:rsidRDefault="00BC2A62" w:rsidP="00BC2A6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C2A62">
              <w:rPr>
                <w:b/>
                <w:sz w:val="16"/>
                <w:szCs w:val="16"/>
              </w:rPr>
              <w:t>Recog</w:t>
            </w:r>
            <w:r>
              <w:rPr>
                <w:b/>
                <w:sz w:val="16"/>
                <w:szCs w:val="16"/>
              </w:rPr>
              <w:t xml:space="preserve">nizes and corrects vague pronouns </w:t>
            </w:r>
            <w:r w:rsidRPr="00BC2A62">
              <w:rPr>
                <w:b/>
                <w:sz w:val="16"/>
                <w:szCs w:val="16"/>
              </w:rPr>
              <w:t>(i.e., ones with unclear or ambiguous</w:t>
            </w:r>
          </w:p>
          <w:p w:rsidR="00160E4A" w:rsidRPr="00B1384B" w:rsidRDefault="00BC2A62" w:rsidP="00BC2A6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C2A62">
              <w:rPr>
                <w:b/>
                <w:sz w:val="16"/>
                <w:szCs w:val="16"/>
              </w:rPr>
              <w:t>antecedents)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0C4DC7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F11F3D">
        <w:trPr>
          <w:trHeight w:val="296"/>
        </w:trPr>
        <w:tc>
          <w:tcPr>
            <w:tcW w:w="5595" w:type="dxa"/>
          </w:tcPr>
          <w:p w:rsidR="00160E4A" w:rsidRPr="00473863" w:rsidRDefault="00395580" w:rsidP="0039558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395580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395580">
              <w:rPr>
                <w:b/>
                <w:sz w:val="16"/>
                <w:szCs w:val="16"/>
              </w:rPr>
              <w:t xml:space="preserve"> the relatio</w:t>
            </w:r>
            <w:r>
              <w:rPr>
                <w:b/>
                <w:sz w:val="16"/>
                <w:szCs w:val="16"/>
              </w:rPr>
              <w:t xml:space="preserve">nship between particular words  </w:t>
            </w:r>
            <w:r w:rsidRPr="00395580">
              <w:rPr>
                <w:b/>
                <w:sz w:val="16"/>
                <w:szCs w:val="16"/>
              </w:rPr>
              <w:t>(e.g., cause/effect,</w:t>
            </w:r>
            <w:r>
              <w:rPr>
                <w:b/>
                <w:sz w:val="16"/>
                <w:szCs w:val="16"/>
              </w:rPr>
              <w:t xml:space="preserve"> part/whole, item/category) to </w:t>
            </w:r>
            <w:r w:rsidRPr="00395580">
              <w:rPr>
                <w:b/>
                <w:sz w:val="16"/>
                <w:szCs w:val="16"/>
              </w:rPr>
              <w:t>better understand each of the words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BC2A62" w:rsidP="00F94A6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F94A65">
              <w:rPr>
                <w:b/>
                <w:sz w:val="16"/>
                <w:szCs w:val="16"/>
              </w:rPr>
              <w:t>Demonstrat</w:t>
            </w:r>
            <w:r>
              <w:rPr>
                <w:b/>
                <w:sz w:val="16"/>
                <w:szCs w:val="16"/>
              </w:rPr>
              <w:t xml:space="preserve">es command of the conventions of </w:t>
            </w:r>
            <w:r w:rsidRPr="00F94A65">
              <w:rPr>
                <w:b/>
                <w:sz w:val="16"/>
                <w:szCs w:val="16"/>
              </w:rPr>
              <w:t>standard English c</w:t>
            </w:r>
            <w:r>
              <w:rPr>
                <w:b/>
                <w:sz w:val="16"/>
                <w:szCs w:val="16"/>
              </w:rPr>
              <w:t xml:space="preserve">apitalization, punctuation, and </w:t>
            </w:r>
            <w:r w:rsidRPr="00F94A65">
              <w:rPr>
                <w:b/>
                <w:sz w:val="16"/>
                <w:szCs w:val="16"/>
              </w:rPr>
              <w:t>spelling when writing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F42508" w:rsidRDefault="00395580" w:rsidP="0039558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395580">
              <w:rPr>
                <w:b/>
                <w:sz w:val="16"/>
                <w:szCs w:val="16"/>
              </w:rPr>
              <w:t xml:space="preserve"> Distinguish</w:t>
            </w:r>
            <w:r>
              <w:rPr>
                <w:b/>
                <w:sz w:val="16"/>
                <w:szCs w:val="16"/>
              </w:rPr>
              <w:t>es</w:t>
            </w:r>
            <w:r w:rsidRPr="00395580">
              <w:rPr>
                <w:b/>
                <w:sz w:val="16"/>
                <w:szCs w:val="16"/>
              </w:rPr>
              <w:t xml:space="preserve"> among the connotations (associations)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580">
              <w:rPr>
                <w:b/>
                <w:sz w:val="16"/>
                <w:szCs w:val="16"/>
              </w:rPr>
              <w:t>of words with similar de</w:t>
            </w:r>
            <w:r>
              <w:rPr>
                <w:b/>
                <w:sz w:val="16"/>
                <w:szCs w:val="16"/>
              </w:rPr>
              <w:t xml:space="preserve">notations (definitions) (e.g., </w:t>
            </w:r>
            <w:r w:rsidRPr="00395580">
              <w:rPr>
                <w:b/>
                <w:sz w:val="16"/>
                <w:szCs w:val="16"/>
              </w:rPr>
              <w:t xml:space="preserve">stingy, scrimping, economical, </w:t>
            </w:r>
            <w:proofErr w:type="spellStart"/>
            <w:r w:rsidRPr="00395580">
              <w:rPr>
                <w:b/>
                <w:sz w:val="16"/>
                <w:szCs w:val="16"/>
              </w:rPr>
              <w:t>unwasteful</w:t>
            </w:r>
            <w:proofErr w:type="spellEnd"/>
            <w:r w:rsidRPr="00395580">
              <w:rPr>
                <w:b/>
                <w:sz w:val="16"/>
                <w:szCs w:val="16"/>
              </w:rPr>
              <w:t>, thrifty)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92562C" w:rsidRDefault="00BC2A62" w:rsidP="00BC2A62">
            <w:pPr>
              <w:rPr>
                <w:b/>
                <w:sz w:val="16"/>
                <w:szCs w:val="16"/>
              </w:rPr>
            </w:pPr>
            <w:r w:rsidRPr="00BC2A62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BC2A62">
              <w:rPr>
                <w:b/>
                <w:sz w:val="16"/>
                <w:szCs w:val="16"/>
              </w:rPr>
              <w:t xml:space="preserve"> pu</w:t>
            </w:r>
            <w:r>
              <w:rPr>
                <w:b/>
                <w:sz w:val="16"/>
                <w:szCs w:val="16"/>
              </w:rPr>
              <w:t xml:space="preserve">nctuation (commas, parentheses, </w:t>
            </w:r>
            <w:r w:rsidRPr="00BC2A62">
              <w:rPr>
                <w:b/>
                <w:sz w:val="16"/>
                <w:szCs w:val="16"/>
              </w:rPr>
              <w:t>dashes) to set o</w:t>
            </w:r>
            <w:r>
              <w:rPr>
                <w:b/>
                <w:sz w:val="16"/>
                <w:szCs w:val="16"/>
              </w:rPr>
              <w:t xml:space="preserve">ff nonrestrictive/ parenthetical </w:t>
            </w:r>
            <w:r w:rsidRPr="00BC2A62">
              <w:rPr>
                <w:b/>
                <w:sz w:val="16"/>
                <w:szCs w:val="16"/>
              </w:rPr>
              <w:t>elements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160E4A" w:rsidRPr="00105F51" w:rsidTr="0065368B">
        <w:trPr>
          <w:trHeight w:val="179"/>
        </w:trPr>
        <w:tc>
          <w:tcPr>
            <w:tcW w:w="5595" w:type="dxa"/>
          </w:tcPr>
          <w:p w:rsidR="00160E4A" w:rsidRPr="00AC0DB4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BC2A62" w:rsidRDefault="00BC2A62" w:rsidP="00BC2A62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BC2A62">
              <w:rPr>
                <w:rFonts w:cs="Gotham-Book"/>
                <w:b/>
                <w:sz w:val="16"/>
                <w:szCs w:val="16"/>
              </w:rPr>
              <w:t>Spell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BC2A62">
              <w:rPr>
                <w:rFonts w:cs="Gotham-Book"/>
                <w:b/>
                <w:sz w:val="16"/>
                <w:szCs w:val="16"/>
              </w:rPr>
              <w:t xml:space="preserve"> correctly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B1384B" w:rsidRDefault="00160E4A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  <w:tr w:rsidR="00F94A65" w:rsidRPr="00105F51" w:rsidTr="0065368B">
        <w:trPr>
          <w:trHeight w:val="179"/>
        </w:trPr>
        <w:tc>
          <w:tcPr>
            <w:tcW w:w="5595" w:type="dxa"/>
          </w:tcPr>
          <w:p w:rsidR="00F94A65" w:rsidRPr="000C70EA" w:rsidRDefault="00F94A65" w:rsidP="00AC0DB4">
            <w:pPr>
              <w:autoSpaceDE w:val="0"/>
              <w:autoSpaceDN w:val="0"/>
              <w:adjustRightInd w:val="0"/>
              <w:rPr>
                <w:rFonts w:cs="Gotham-Book"/>
                <w:b/>
                <w:i/>
                <w:sz w:val="18"/>
                <w:szCs w:val="18"/>
                <w:highlight w:val="lightGray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F94A65" w:rsidRPr="00F94A65" w:rsidRDefault="00BC2A62" w:rsidP="00F94A6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BC2A62">
              <w:rPr>
                <w:rFonts w:cs="Gotham-Book"/>
                <w:b/>
                <w:sz w:val="16"/>
                <w:szCs w:val="16"/>
              </w:rPr>
              <w:t>Var</w:t>
            </w:r>
            <w:r>
              <w:rPr>
                <w:rFonts w:cs="Gotham-Book"/>
                <w:b/>
                <w:sz w:val="16"/>
                <w:szCs w:val="16"/>
              </w:rPr>
              <w:t>ies</w:t>
            </w:r>
            <w:r w:rsidRPr="00BC2A62">
              <w:rPr>
                <w:rFonts w:cs="Gotham-Book"/>
                <w:b/>
                <w:sz w:val="16"/>
                <w:szCs w:val="16"/>
              </w:rPr>
              <w:t xml:space="preserve"> sentenc</w:t>
            </w:r>
            <w:r>
              <w:rPr>
                <w:rFonts w:cs="Gotham-Book"/>
                <w:b/>
                <w:sz w:val="16"/>
                <w:szCs w:val="16"/>
              </w:rPr>
              <w:t>e patterns for meaning, reader/</w:t>
            </w:r>
            <w:r w:rsidRPr="00BC2A62">
              <w:rPr>
                <w:rFonts w:cs="Gotham-Book"/>
                <w:b/>
                <w:sz w:val="16"/>
                <w:szCs w:val="16"/>
              </w:rPr>
              <w:t>listener interest, and style</w:t>
            </w:r>
          </w:p>
        </w:tc>
        <w:tc>
          <w:tcPr>
            <w:tcW w:w="810" w:type="dxa"/>
          </w:tcPr>
          <w:p w:rsidR="00F94A65" w:rsidRPr="00105F51" w:rsidRDefault="00F94A65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F94A65" w:rsidRPr="00B1384B" w:rsidRDefault="00F94A65" w:rsidP="00105F51">
            <w:pPr>
              <w:rPr>
                <w:b/>
                <w:sz w:val="18"/>
                <w:szCs w:val="18"/>
                <w:highlight w:val="yellow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lastRenderedPageBreak/>
        <w:tab/>
      </w:r>
    </w:p>
    <w:p w:rsidR="009972DB" w:rsidRDefault="009972DB" w:rsidP="00E84359">
      <w:pPr>
        <w:jc w:val="center"/>
        <w:rPr>
          <w:b/>
          <w:sz w:val="28"/>
          <w:szCs w:val="28"/>
        </w:rPr>
      </w:pP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9972DB" w:rsidP="00520AED">
            <w:pPr>
              <w:tabs>
                <w:tab w:val="left" w:pos="4965"/>
              </w:tabs>
            </w:pPr>
            <w:r>
              <w:rPr>
                <w:b/>
                <w:i/>
              </w:rPr>
              <w:t>Other</w:t>
            </w:r>
            <w:r w:rsidR="00E84359" w:rsidRPr="00B902F7">
              <w:rPr>
                <w:b/>
                <w:i/>
              </w:rPr>
              <w:t xml:space="preserve"> factors which impact language skills:</w:t>
            </w:r>
            <w:r w:rsidR="00E84359">
              <w:rPr>
                <w:b/>
              </w:rPr>
              <w:t xml:space="preserve"> </w:t>
            </w:r>
            <w:r w:rsidR="00E84359"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730B35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46626E" w:rsidP="00F61DE0">
      <w:pPr>
        <w:tabs>
          <w:tab w:val="left" w:pos="5010"/>
        </w:tabs>
        <w:rPr>
          <w:b/>
          <w:sz w:val="18"/>
          <w:szCs w:val="18"/>
        </w:rPr>
      </w:pPr>
    </w:p>
    <w:sectPr w:rsidR="0046626E" w:rsidRPr="003B0794" w:rsidSect="00450F8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05A2B"/>
    <w:rsid w:val="00017BB7"/>
    <w:rsid w:val="000220B1"/>
    <w:rsid w:val="000265CE"/>
    <w:rsid w:val="00032845"/>
    <w:rsid w:val="00035D27"/>
    <w:rsid w:val="000430E9"/>
    <w:rsid w:val="000613A9"/>
    <w:rsid w:val="00063CB8"/>
    <w:rsid w:val="0009356C"/>
    <w:rsid w:val="00094CE6"/>
    <w:rsid w:val="00095354"/>
    <w:rsid w:val="000B0294"/>
    <w:rsid w:val="000C0FB4"/>
    <w:rsid w:val="000C4DC7"/>
    <w:rsid w:val="000C70EA"/>
    <w:rsid w:val="000E3911"/>
    <w:rsid w:val="000E6642"/>
    <w:rsid w:val="000F3387"/>
    <w:rsid w:val="000F7AEE"/>
    <w:rsid w:val="001026D2"/>
    <w:rsid w:val="00105F51"/>
    <w:rsid w:val="00107627"/>
    <w:rsid w:val="001125A8"/>
    <w:rsid w:val="00122B68"/>
    <w:rsid w:val="00155111"/>
    <w:rsid w:val="00160E4A"/>
    <w:rsid w:val="00170B15"/>
    <w:rsid w:val="00177440"/>
    <w:rsid w:val="00196E2C"/>
    <w:rsid w:val="00203745"/>
    <w:rsid w:val="00203DCE"/>
    <w:rsid w:val="00221DC1"/>
    <w:rsid w:val="002258A9"/>
    <w:rsid w:val="00226BD9"/>
    <w:rsid w:val="002373B8"/>
    <w:rsid w:val="002872B3"/>
    <w:rsid w:val="002906EC"/>
    <w:rsid w:val="002D3807"/>
    <w:rsid w:val="002D420E"/>
    <w:rsid w:val="002F3771"/>
    <w:rsid w:val="00301994"/>
    <w:rsid w:val="00320DA3"/>
    <w:rsid w:val="0032216A"/>
    <w:rsid w:val="003300A5"/>
    <w:rsid w:val="00336054"/>
    <w:rsid w:val="00375D69"/>
    <w:rsid w:val="003866C3"/>
    <w:rsid w:val="0038791C"/>
    <w:rsid w:val="00395580"/>
    <w:rsid w:val="003B0794"/>
    <w:rsid w:val="003E54FD"/>
    <w:rsid w:val="003F4172"/>
    <w:rsid w:val="0042708F"/>
    <w:rsid w:val="0043014B"/>
    <w:rsid w:val="004341D6"/>
    <w:rsid w:val="00450F89"/>
    <w:rsid w:val="00451D1C"/>
    <w:rsid w:val="00461EBD"/>
    <w:rsid w:val="00462FB5"/>
    <w:rsid w:val="0046626E"/>
    <w:rsid w:val="00473863"/>
    <w:rsid w:val="004917D9"/>
    <w:rsid w:val="00493DC5"/>
    <w:rsid w:val="004C5D08"/>
    <w:rsid w:val="004E6D2A"/>
    <w:rsid w:val="005076E4"/>
    <w:rsid w:val="00512943"/>
    <w:rsid w:val="005159D5"/>
    <w:rsid w:val="00521046"/>
    <w:rsid w:val="00550D57"/>
    <w:rsid w:val="0056785F"/>
    <w:rsid w:val="00595B71"/>
    <w:rsid w:val="005B0A98"/>
    <w:rsid w:val="005D69C8"/>
    <w:rsid w:val="005F6C8D"/>
    <w:rsid w:val="00611D0C"/>
    <w:rsid w:val="0063385C"/>
    <w:rsid w:val="006449E1"/>
    <w:rsid w:val="00651333"/>
    <w:rsid w:val="0065368B"/>
    <w:rsid w:val="00657B85"/>
    <w:rsid w:val="00663A16"/>
    <w:rsid w:val="006706DE"/>
    <w:rsid w:val="0067450C"/>
    <w:rsid w:val="00686B2F"/>
    <w:rsid w:val="006E23A0"/>
    <w:rsid w:val="006F0BF0"/>
    <w:rsid w:val="006F6F8A"/>
    <w:rsid w:val="00721946"/>
    <w:rsid w:val="00730B35"/>
    <w:rsid w:val="00791AB6"/>
    <w:rsid w:val="007970A5"/>
    <w:rsid w:val="007A1530"/>
    <w:rsid w:val="007E32B0"/>
    <w:rsid w:val="007E536A"/>
    <w:rsid w:val="007F6160"/>
    <w:rsid w:val="007F7E5A"/>
    <w:rsid w:val="0080399E"/>
    <w:rsid w:val="00837580"/>
    <w:rsid w:val="0085458D"/>
    <w:rsid w:val="008C5869"/>
    <w:rsid w:val="008E3FE3"/>
    <w:rsid w:val="008E683F"/>
    <w:rsid w:val="008F4786"/>
    <w:rsid w:val="009121E5"/>
    <w:rsid w:val="0092562C"/>
    <w:rsid w:val="00936CC1"/>
    <w:rsid w:val="00946A49"/>
    <w:rsid w:val="00971CD7"/>
    <w:rsid w:val="009742FB"/>
    <w:rsid w:val="00974AA4"/>
    <w:rsid w:val="009972DB"/>
    <w:rsid w:val="009A1C1F"/>
    <w:rsid w:val="009E4782"/>
    <w:rsid w:val="00A04B69"/>
    <w:rsid w:val="00A439F4"/>
    <w:rsid w:val="00A52D8C"/>
    <w:rsid w:val="00A55875"/>
    <w:rsid w:val="00A91C45"/>
    <w:rsid w:val="00AA4AA7"/>
    <w:rsid w:val="00AB09A4"/>
    <w:rsid w:val="00AC0DB4"/>
    <w:rsid w:val="00AD4E6C"/>
    <w:rsid w:val="00AD7A23"/>
    <w:rsid w:val="00AE7B11"/>
    <w:rsid w:val="00AF2EFF"/>
    <w:rsid w:val="00B07A08"/>
    <w:rsid w:val="00B1384B"/>
    <w:rsid w:val="00B223CC"/>
    <w:rsid w:val="00B26D54"/>
    <w:rsid w:val="00B41D78"/>
    <w:rsid w:val="00B655DE"/>
    <w:rsid w:val="00B82E43"/>
    <w:rsid w:val="00BA47EE"/>
    <w:rsid w:val="00BC2A62"/>
    <w:rsid w:val="00BD0793"/>
    <w:rsid w:val="00BD55FA"/>
    <w:rsid w:val="00BD6253"/>
    <w:rsid w:val="00C0651F"/>
    <w:rsid w:val="00C5771D"/>
    <w:rsid w:val="00C64D08"/>
    <w:rsid w:val="00C8327D"/>
    <w:rsid w:val="00C8444D"/>
    <w:rsid w:val="00C912FF"/>
    <w:rsid w:val="00CA488F"/>
    <w:rsid w:val="00CC3ED8"/>
    <w:rsid w:val="00CD381E"/>
    <w:rsid w:val="00D055A4"/>
    <w:rsid w:val="00D137EC"/>
    <w:rsid w:val="00D20B7A"/>
    <w:rsid w:val="00D25E8A"/>
    <w:rsid w:val="00D73AA5"/>
    <w:rsid w:val="00D82064"/>
    <w:rsid w:val="00D85A87"/>
    <w:rsid w:val="00E37E45"/>
    <w:rsid w:val="00E84359"/>
    <w:rsid w:val="00E87893"/>
    <w:rsid w:val="00EC6575"/>
    <w:rsid w:val="00F0012D"/>
    <w:rsid w:val="00F11F3D"/>
    <w:rsid w:val="00F23393"/>
    <w:rsid w:val="00F40B62"/>
    <w:rsid w:val="00F42508"/>
    <w:rsid w:val="00F61DE0"/>
    <w:rsid w:val="00F94A65"/>
    <w:rsid w:val="00FA4E95"/>
    <w:rsid w:val="00FB27D8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57838-7412-42ED-B6AF-19A46CDE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Lozo</dc:creator>
  <cp:lastModifiedBy>Deborah Lozo</cp:lastModifiedBy>
  <cp:revision>12</cp:revision>
  <cp:lastPrinted>2013-08-26T03:42:00Z</cp:lastPrinted>
  <dcterms:created xsi:type="dcterms:W3CDTF">2013-08-26T02:57:00Z</dcterms:created>
  <dcterms:modified xsi:type="dcterms:W3CDTF">2013-08-26T18:51:00Z</dcterms:modified>
</cp:coreProperties>
</file>